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5B3" w:rsidRDefault="0046069B" w:rsidP="004C200A">
      <w:pPr>
        <w:spacing w:line="240" w:lineRule="auto"/>
      </w:pPr>
      <w:r>
        <w:t>Psl. 173</w:t>
      </w:r>
    </w:p>
    <w:p w:rsidR="0046069B" w:rsidRPr="0046069B" w:rsidRDefault="0046069B" w:rsidP="004C200A">
      <w:pPr>
        <w:spacing w:line="240" w:lineRule="auto"/>
        <w:rPr>
          <w:i/>
          <w:sz w:val="24"/>
          <w:szCs w:val="24"/>
        </w:rPr>
      </w:pPr>
      <w:r w:rsidRPr="0046069B">
        <w:rPr>
          <w:i/>
          <w:sz w:val="24"/>
          <w:szCs w:val="24"/>
        </w:rPr>
        <w:t>Iliustracijos: 1. trečiasis švartavimosi knechtas, bitengas</w:t>
      </w:r>
      <w:r w:rsidRPr="0046069B">
        <w:rPr>
          <w:rStyle w:val="FootnoteReference"/>
          <w:i/>
          <w:sz w:val="24"/>
          <w:szCs w:val="24"/>
        </w:rPr>
        <w:footnoteReference w:id="1"/>
      </w:r>
      <w:r w:rsidRPr="0046069B">
        <w:rPr>
          <w:i/>
          <w:sz w:val="24"/>
          <w:szCs w:val="24"/>
        </w:rPr>
        <w:t>. Brėžinys pagal rastus radinius Wernerio Jaegerio</w:t>
      </w:r>
    </w:p>
    <w:p w:rsidR="0046069B" w:rsidRPr="0046069B" w:rsidRDefault="0046069B" w:rsidP="004C200A">
      <w:pPr>
        <w:spacing w:line="240" w:lineRule="auto"/>
        <w:rPr>
          <w:i/>
          <w:sz w:val="24"/>
          <w:szCs w:val="24"/>
        </w:rPr>
      </w:pPr>
      <w:r w:rsidRPr="0046069B">
        <w:rPr>
          <w:i/>
          <w:sz w:val="24"/>
          <w:szCs w:val="24"/>
        </w:rPr>
        <w:t>2. „Marijos“ Švartavimosi bitengai arba knechtai, vaizdas iš dešiniojo borto, brėžinys W. Quircko</w:t>
      </w:r>
    </w:p>
    <w:p w:rsidR="0046069B" w:rsidRPr="0046069B" w:rsidRDefault="0046069B" w:rsidP="004C200A">
      <w:pPr>
        <w:spacing w:line="240" w:lineRule="auto"/>
        <w:rPr>
          <w:i/>
          <w:sz w:val="24"/>
          <w:szCs w:val="24"/>
        </w:rPr>
      </w:pPr>
      <w:r w:rsidRPr="0046069B">
        <w:rPr>
          <w:i/>
          <w:sz w:val="24"/>
          <w:szCs w:val="24"/>
        </w:rPr>
        <w:t>3. abu priekiniai švartavimosi bitengai, knechtai, brėžinys pagal radinius, W. Jaeger.</w:t>
      </w:r>
    </w:p>
    <w:p w:rsidR="0046069B" w:rsidRPr="0046069B" w:rsidRDefault="0046069B" w:rsidP="004C200A">
      <w:pPr>
        <w:spacing w:line="240" w:lineRule="auto"/>
        <w:rPr>
          <w:i/>
          <w:sz w:val="24"/>
          <w:szCs w:val="24"/>
        </w:rPr>
      </w:pPr>
      <w:r w:rsidRPr="0046069B">
        <w:rPr>
          <w:i/>
          <w:sz w:val="24"/>
          <w:szCs w:val="24"/>
        </w:rPr>
        <w:t>4. Švartavimosi bitengai, knechtai laivo pirmgalyje (prie kairiojo borto), brėžinys pagal radinius W. Jaegerio.</w:t>
      </w:r>
    </w:p>
    <w:p w:rsidR="0046069B" w:rsidRDefault="0046069B" w:rsidP="004C200A">
      <w:pPr>
        <w:spacing w:line="240" w:lineRule="auto"/>
      </w:pPr>
    </w:p>
    <w:p w:rsidR="0046069B" w:rsidRDefault="004C200A" w:rsidP="004C200A">
      <w:pPr>
        <w:spacing w:line="240" w:lineRule="auto"/>
      </w:pPr>
      <w:r>
        <w:t xml:space="preserve">Iš visų septynių švartavimosi bitengų arba knechtų abiejose „Maria“ laivo pusėse buvo po tris laivo pirmagalyje ir po tris užpakalinėje dalyje. Septintas atitinkamai ketvirtas arba tarpinis bitengas buvo maždaug nakthauzo pusės ilgio viduryje tarp giko topenanto pire grotstiebio ir besant vanto sutvirtinimų. Taigi jis buvo prie dešiniojo laivo borto bitengo vidurinioji ašis buvo </w:t>
      </w:r>
      <w:r w:rsidRPr="004C200A">
        <w:t xml:space="preserve">975 mm </w:t>
      </w:r>
      <w:r>
        <w:t xml:space="preserve">už pačio paskutinio giko-topenanto sutvirtinimo ir </w:t>
      </w:r>
      <w:r w:rsidRPr="004C200A">
        <w:t xml:space="preserve">5230mm </w:t>
      </w:r>
      <w:r>
        <w:t xml:space="preserve">prieš </w:t>
      </w:r>
      <w:r w:rsidR="00696B30">
        <w:t>priekinį vanto sutvirtinimą.</w:t>
      </w:r>
    </w:p>
    <w:p w:rsidR="00696B30" w:rsidRDefault="00696B30" w:rsidP="004C200A">
      <w:pPr>
        <w:spacing w:line="240" w:lineRule="auto"/>
      </w:pPr>
      <w:r>
        <w:t>Iš esmės švartavimosi bitengų korpus</w:t>
      </w:r>
      <w:r w:rsidR="004177B3">
        <w:t>as (kūnas) dalinosi į dvi dalis, viršutinė dalis buvo virš denio, o apatinė kaip šaknys buvo po deniu, kur jis baigėsi plokščiai, rėmėsi į borto sieną.</w:t>
      </w:r>
    </w:p>
    <w:p w:rsidR="004177B3" w:rsidRDefault="00D62781" w:rsidP="004C200A">
      <w:pPr>
        <w:spacing w:line="240" w:lineRule="auto"/>
      </w:pPr>
      <w:r>
        <w:t xml:space="preserve">Trečias švartavimosi bitengas iš priekio turėjo vienodai išliekantį priekinį kraštą </w:t>
      </w:r>
      <w:r w:rsidRPr="00D62781">
        <w:t xml:space="preserve">196 mm (= 7 ½ “). </w:t>
      </w:r>
      <w:r>
        <w:t xml:space="preserve">Ilgis po deniu siekė </w:t>
      </w:r>
      <w:r w:rsidRPr="00D62781">
        <w:t xml:space="preserve">950 mm. </w:t>
      </w:r>
      <w:r>
        <w:t xml:space="preserve">Šiame ilgyje storis prie denio apatinių kraštų – virš </w:t>
      </w:r>
      <w:r w:rsidRPr="00D62781">
        <w:t>105mm,</w:t>
      </w:r>
      <w:r>
        <w:t xml:space="preserve"> </w:t>
      </w:r>
      <w:r w:rsidRPr="00D62781">
        <w:t xml:space="preserve"> apie </w:t>
      </w:r>
      <w:r>
        <w:t xml:space="preserve"> </w:t>
      </w:r>
      <w:r w:rsidRPr="00D62781">
        <w:t>500mm giliau</w:t>
      </w:r>
      <w:r>
        <w:t xml:space="preserve"> plonėjo nuo</w:t>
      </w:r>
      <w:r w:rsidRPr="00D62781">
        <w:t xml:space="preserve"> 115 mm</w:t>
      </w:r>
      <w:r>
        <w:t xml:space="preserve"> iki 70 mm., kurie 150 mm buvo pasiekiami prieš apatinį galą (pabaigą). Virš šių paskutinių </w:t>
      </w:r>
      <w:r w:rsidRPr="00B56E74">
        <w:t>150 mm</w:t>
      </w:r>
      <w:r w:rsidR="00B56E74" w:rsidRPr="00B56E74">
        <w:t xml:space="preserve"> </w:t>
      </w:r>
      <w:r w:rsidR="00B56E74">
        <w:t xml:space="preserve">švartavimosi bitengo pabaiga buvo nusodinta iki </w:t>
      </w:r>
      <w:r w:rsidR="00B56E74" w:rsidRPr="00B56E74">
        <w:t>25 mm, kad baigt</w:t>
      </w:r>
      <w:r w:rsidR="00B56E74">
        <w:t>ųsi plokščiai.</w:t>
      </w:r>
    </w:p>
    <w:p w:rsidR="00B56E74" w:rsidRDefault="00B56E74" w:rsidP="004C200A">
      <w:pPr>
        <w:spacing w:line="240" w:lineRule="auto"/>
      </w:pPr>
      <w:r>
        <w:t xml:space="preserve">Virš denio švartavimosi bitengas buvo </w:t>
      </w:r>
      <w:r w:rsidRPr="00B56E74">
        <w:t xml:space="preserve">509 mm </w:t>
      </w:r>
      <w:r>
        <w:t xml:space="preserve">aukštį, iš jų </w:t>
      </w:r>
      <w:r w:rsidRPr="00B56E74">
        <w:t>209mm (=8”</w:t>
      </w:r>
      <w:r>
        <w:t xml:space="preserve">) išsikišo virš </w:t>
      </w:r>
      <w:r w:rsidR="006C73D5">
        <w:t>rangauto. Virš denio švarstavimosi bitengas turėjo rombo formos skerspjūvį, kuris įtvirtinimo aukštyje</w:t>
      </w:r>
      <w:r w:rsidR="00D061F3">
        <w:t xml:space="preserve"> išorėje</w:t>
      </w:r>
      <w:r w:rsidR="006C73D5">
        <w:t xml:space="preserve"> ir viduje turėjo </w:t>
      </w:r>
      <w:r w:rsidR="006C73D5" w:rsidRPr="006C73D5">
        <w:t>196 mm (=7 ½ “)</w:t>
      </w:r>
      <w:r w:rsidR="006C73D5">
        <w:t xml:space="preserve"> krašto ilgį</w:t>
      </w:r>
      <w:r w:rsidR="00D061F3">
        <w:t>,</w:t>
      </w:r>
      <w:r w:rsidR="006C73D5">
        <w:t xml:space="preserve">  o iš šonų 183 mm. </w:t>
      </w:r>
      <w:r w:rsidR="00D061F3">
        <w:t xml:space="preserve"> Abu viduje esantys kampai buvo nužeminti (nusodinti), tokiu būdu </w:t>
      </w:r>
      <w:r w:rsidR="00D061F3" w:rsidRPr="00D061F3">
        <w:t xml:space="preserve">33 mm </w:t>
      </w:r>
      <w:r w:rsidR="00D061F3">
        <w:t>storesn</w:t>
      </w:r>
      <w:r w:rsidR="00153174">
        <w:t>e</w:t>
      </w:r>
      <w:r w:rsidR="00D061F3">
        <w:t xml:space="preserve">s </w:t>
      </w:r>
      <w:r w:rsidR="00153174">
        <w:t xml:space="preserve">įtvirtinimo </w:t>
      </w:r>
      <w:r w:rsidR="00D061F3">
        <w:t>lent</w:t>
      </w:r>
      <w:r w:rsidR="00153174">
        <w:t>a</w:t>
      </w:r>
      <w:r w:rsidR="00D061F3">
        <w:t xml:space="preserve">s </w:t>
      </w:r>
      <w:r w:rsidR="00153174">
        <w:t xml:space="preserve">būtų galima </w:t>
      </w:r>
      <w:r w:rsidR="00D061F3">
        <w:t xml:space="preserve">apie </w:t>
      </w:r>
      <w:r w:rsidR="00D061F3" w:rsidRPr="00D061F3">
        <w:t xml:space="preserve">26 mm (=1”) </w:t>
      </w:r>
      <w:r w:rsidR="00153174">
        <w:t>glaustai perdengiant pritaikyti. Išorinė pusė buvo taip pat nužeminta, kad švartavimosi bitengai ten nuo turėklų</w:t>
      </w:r>
      <w:r w:rsidR="00722741">
        <w:t xml:space="preserve"> būtų atskirti galima. Viršutinėje atkarpoje </w:t>
      </w:r>
      <w:r w:rsidR="00392B14">
        <w:t>kraštai</w:t>
      </w:r>
      <w:r w:rsidR="00392B14" w:rsidRPr="00392B14">
        <w:t xml:space="preserve"> </w:t>
      </w:r>
      <w:r w:rsidR="00392B14">
        <w:t>buvo kelis centimetrus lengvai įtraukti po paviršiumi, taip bitengas buvo šiek tiek , liemenuotas tokiu būdu lynas galėjo tvirčiau laikytis. Bitengo paviršius buvo įžambus. Jis žemėjo tiek iš priekio į užpakalį, tiek iš vidaus į išorę.</w:t>
      </w:r>
    </w:p>
    <w:p w:rsidR="00392B14" w:rsidRPr="00392B14" w:rsidRDefault="00392B14" w:rsidP="004C200A">
      <w:pPr>
        <w:spacing w:line="240" w:lineRule="auto"/>
        <w:rPr>
          <w:i/>
        </w:rPr>
      </w:pPr>
      <w:r w:rsidRPr="00392B14">
        <w:rPr>
          <w:b/>
          <w:i/>
        </w:rPr>
        <w:t>174 psl.</w:t>
      </w:r>
      <w:r w:rsidRPr="00392B14">
        <w:rPr>
          <w:i/>
        </w:rPr>
        <w:t xml:space="preserve"> Iliustracija: 5  Vidurinis švartavimosi bitengas, brėžinys pagal wernerio Jaegerio radinius</w:t>
      </w:r>
    </w:p>
    <w:p w:rsidR="00392B14" w:rsidRPr="00392B14" w:rsidRDefault="00392B14" w:rsidP="004C200A">
      <w:pPr>
        <w:spacing w:line="240" w:lineRule="auto"/>
      </w:pPr>
    </w:p>
    <w:p w:rsidR="0046069B" w:rsidRDefault="0046069B" w:rsidP="004C200A">
      <w:pPr>
        <w:spacing w:line="240" w:lineRule="auto"/>
      </w:pPr>
    </w:p>
    <w:sectPr w:rsidR="0046069B" w:rsidSect="00B805B3">
      <w:pgSz w:w="11906" w:h="16838"/>
      <w:pgMar w:top="1701" w:right="567" w:bottom="1134"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68A" w:rsidRDefault="001A568A" w:rsidP="0046069B">
      <w:pPr>
        <w:spacing w:after="0" w:line="240" w:lineRule="auto"/>
      </w:pPr>
      <w:r>
        <w:separator/>
      </w:r>
    </w:p>
  </w:endnote>
  <w:endnote w:type="continuationSeparator" w:id="0">
    <w:p w:rsidR="001A568A" w:rsidRDefault="001A568A" w:rsidP="004606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68A" w:rsidRDefault="001A568A" w:rsidP="0046069B">
      <w:pPr>
        <w:spacing w:after="0" w:line="240" w:lineRule="auto"/>
      </w:pPr>
      <w:r>
        <w:separator/>
      </w:r>
    </w:p>
  </w:footnote>
  <w:footnote w:type="continuationSeparator" w:id="0">
    <w:p w:rsidR="001A568A" w:rsidRDefault="001A568A" w:rsidP="0046069B">
      <w:pPr>
        <w:spacing w:after="0" w:line="240" w:lineRule="auto"/>
      </w:pPr>
      <w:r>
        <w:continuationSeparator/>
      </w:r>
    </w:p>
  </w:footnote>
  <w:footnote w:id="1">
    <w:p w:rsidR="0046069B" w:rsidRPr="0046069B" w:rsidRDefault="0046069B" w:rsidP="0046069B">
      <w:pPr>
        <w:pStyle w:val="Heading3"/>
        <w:spacing w:before="79" w:beforeAutospacing="0" w:after="158" w:afterAutospacing="0" w:line="192" w:lineRule="atLeast"/>
        <w:rPr>
          <w:rFonts w:asciiTheme="minorHAnsi" w:hAnsiTheme="minorHAnsi" w:cstheme="minorHAnsi"/>
          <w:b w:val="0"/>
          <w:bCs w:val="0"/>
          <w:color w:val="333333"/>
          <w:sz w:val="20"/>
          <w:szCs w:val="20"/>
        </w:rPr>
      </w:pPr>
      <w:r>
        <w:rPr>
          <w:rStyle w:val="FootnoteReference"/>
        </w:rPr>
        <w:footnoteRef/>
      </w:r>
      <w:r>
        <w:t xml:space="preserve"> </w:t>
      </w:r>
      <w:r w:rsidRPr="0046069B">
        <w:rPr>
          <w:rFonts w:asciiTheme="minorHAnsi" w:hAnsiTheme="minorHAnsi" w:cstheme="minorHAnsi"/>
          <w:b w:val="0"/>
          <w:bCs w:val="0"/>
          <w:color w:val="333333"/>
          <w:sz w:val="20"/>
          <w:szCs w:val="20"/>
        </w:rPr>
        <w:t xml:space="preserve">Bìtengas - </w:t>
      </w:r>
      <w:r w:rsidRPr="0046069B">
        <w:rPr>
          <w:rFonts w:asciiTheme="minorHAnsi" w:hAnsiTheme="minorHAnsi" w:cstheme="minorHAnsi"/>
          <w:b w:val="0"/>
          <w:color w:val="333333"/>
          <w:sz w:val="20"/>
          <w:szCs w:val="20"/>
          <w:shd w:val="clear" w:color="auto" w:fill="F5F5F5"/>
        </w:rPr>
        <w:t>Tuščiaviduris plie</w:t>
      </w:r>
      <w:r w:rsidRPr="0046069B">
        <w:rPr>
          <w:rFonts w:asciiTheme="minorHAnsi" w:hAnsiTheme="minorHAnsi" w:cstheme="minorHAnsi"/>
          <w:b w:val="0"/>
          <w:color w:val="333333"/>
          <w:sz w:val="20"/>
          <w:szCs w:val="20"/>
          <w:shd w:val="clear" w:color="auto" w:fill="F5F5F5"/>
        </w:rPr>
        <w:softHyphen/>
        <w:t>no arba ketaus vertikalus neaukštas stovas, įtvirtintas denyje ir naudojamas inkaro grandinei pritvirtinti, nu</w:t>
      </w:r>
      <w:r w:rsidRPr="0046069B">
        <w:rPr>
          <w:rFonts w:asciiTheme="minorHAnsi" w:hAnsiTheme="minorHAnsi" w:cstheme="minorHAnsi"/>
          <w:b w:val="0"/>
          <w:color w:val="333333"/>
          <w:sz w:val="20"/>
          <w:szCs w:val="20"/>
          <w:shd w:val="clear" w:color="auto" w:fill="F5F5F5"/>
        </w:rPr>
        <w:softHyphen/>
        <w:t>leidus inkarą; upiniuose laivuose jis naudojamas buksyriniam lynui pritvirtinti JŽ</w:t>
      </w:r>
    </w:p>
    <w:p w:rsidR="0046069B" w:rsidRDefault="0046069B">
      <w:pPr>
        <w:pStyle w:val="FootnoteText"/>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1296"/>
  <w:hyphenationZone w:val="396"/>
  <w:characterSpacingControl w:val="doNotCompress"/>
  <w:footnotePr>
    <w:footnote w:id="-1"/>
    <w:footnote w:id="0"/>
  </w:footnotePr>
  <w:endnotePr>
    <w:endnote w:id="-1"/>
    <w:endnote w:id="0"/>
  </w:endnotePr>
  <w:compat/>
  <w:rsids>
    <w:rsidRoot w:val="0046069B"/>
    <w:rsid w:val="00153174"/>
    <w:rsid w:val="001A568A"/>
    <w:rsid w:val="003860AA"/>
    <w:rsid w:val="00392B14"/>
    <w:rsid w:val="004177B3"/>
    <w:rsid w:val="0046069B"/>
    <w:rsid w:val="004C200A"/>
    <w:rsid w:val="00696B30"/>
    <w:rsid w:val="006C73D5"/>
    <w:rsid w:val="00722741"/>
    <w:rsid w:val="0073320C"/>
    <w:rsid w:val="00AA0D30"/>
    <w:rsid w:val="00B15379"/>
    <w:rsid w:val="00B56E74"/>
    <w:rsid w:val="00B805B3"/>
    <w:rsid w:val="00D061F3"/>
    <w:rsid w:val="00D62781"/>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5B3"/>
  </w:style>
  <w:style w:type="paragraph" w:styleId="Heading3">
    <w:name w:val="heading 3"/>
    <w:basedOn w:val="Normal"/>
    <w:link w:val="Heading3Char"/>
    <w:uiPriority w:val="9"/>
    <w:qFormat/>
    <w:rsid w:val="0046069B"/>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6069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069B"/>
    <w:rPr>
      <w:sz w:val="20"/>
      <w:szCs w:val="20"/>
    </w:rPr>
  </w:style>
  <w:style w:type="character" w:styleId="FootnoteReference">
    <w:name w:val="footnote reference"/>
    <w:basedOn w:val="DefaultParagraphFont"/>
    <w:uiPriority w:val="99"/>
    <w:semiHidden/>
    <w:unhideWhenUsed/>
    <w:rsid w:val="0046069B"/>
    <w:rPr>
      <w:vertAlign w:val="superscript"/>
    </w:rPr>
  </w:style>
  <w:style w:type="character" w:customStyle="1" w:styleId="Heading3Char">
    <w:name w:val="Heading 3 Char"/>
    <w:basedOn w:val="DefaultParagraphFont"/>
    <w:link w:val="Heading3"/>
    <w:uiPriority w:val="9"/>
    <w:rsid w:val="0046069B"/>
    <w:rPr>
      <w:rFonts w:ascii="Times New Roman" w:eastAsia="Times New Roman" w:hAnsi="Times New Roman" w:cs="Times New Roman"/>
      <w:b/>
      <w:bCs/>
      <w:sz w:val="27"/>
      <w:szCs w:val="27"/>
      <w:lang w:eastAsia="lt-LT"/>
    </w:rPr>
  </w:style>
</w:styles>
</file>

<file path=word/webSettings.xml><?xml version="1.0" encoding="utf-8"?>
<w:webSettings xmlns:r="http://schemas.openxmlformats.org/officeDocument/2006/relationships" xmlns:w="http://schemas.openxmlformats.org/wordprocessingml/2006/main">
  <w:divs>
    <w:div w:id="209107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5A114-806B-4430-9D82-11EC38ED9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1522</Words>
  <Characters>869</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Rimante</dc:creator>
  <cp:lastModifiedBy>Rimante</cp:lastModifiedBy>
  <cp:revision>2</cp:revision>
  <dcterms:created xsi:type="dcterms:W3CDTF">2014-08-21T08:46:00Z</dcterms:created>
  <dcterms:modified xsi:type="dcterms:W3CDTF">2014-08-26T12:36:00Z</dcterms:modified>
</cp:coreProperties>
</file>